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7356</w:t>
        <w:t xml:space="preserve">.  </w:t>
      </w:r>
      <w:r>
        <w:rPr>
          <w:b/>
        </w:rPr>
        <w:t xml:space="preserve">Defendant entitled to custody of plaintiff</w:t>
      </w:r>
    </w:p>
    <w:p>
      <w:pPr>
        <w:jc w:val="both"/>
        <w:spacing w:before="100" w:after="100"/>
        <w:ind w:start="360"/>
        <w:ind w:firstLine="360"/>
      </w:pPr>
      <w:r>
        <w:rPr/>
      </w:r>
      <w:r>
        <w:rPr/>
      </w:r>
      <w:r>
        <w:t xml:space="preserve">If it appears that the defendant is bail for the plaintiff or that, as his child, ward, apprentice or otherwise, he is entitled to his custody, he shall have judgment for a redelivery of his body, to be held or disposed of according to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§7356. Defendant entitled to custody of plaintiff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§7356. Defendant entitled to custody of plaintiff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§7356. DEFENDANT ENTITLED TO CUSTODY OF PLAINTIFF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