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Treasurers may bring action in own name</w:t>
      </w:r>
    </w:p>
    <w:p>
      <w:pPr>
        <w:jc w:val="both"/>
        <w:spacing w:before="100" w:after="100"/>
        <w:ind w:start="360"/>
        <w:ind w:firstLine="360"/>
      </w:pPr>
      <w:r>
        <w:rPr/>
      </w:r>
      <w:r>
        <w:rPr/>
      </w:r>
      <w:r>
        <w:t xml:space="preserve">Treasurers of state, counties, towns and corporations may maintain civil actions in their own names as treasurers on contracts given to them or their predecessors and prosecute civil actions pending in the names of their predecessors.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Treasurers may bring action in own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Treasurers may bring action in own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 TREASURERS MAY BRING ACTION IN OWN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