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Notice</w:t>
      </w:r>
    </w:p>
    <w:p>
      <w:pPr>
        <w:jc w:val="both"/>
        <w:spacing w:before="100" w:after="100"/>
        <w:ind w:start="360"/>
        <w:ind w:firstLine="360"/>
      </w:pPr>
      <w:r>
        <w:rPr/>
      </w:r>
      <w:r>
        <w:rPr/>
      </w:r>
      <w:r>
        <w:t xml:space="preserve">Notice of a time and place for a hearing held under </w:t>
      </w:r>
      <w:r>
        <w:t>section 1181</w:t>
      </w:r>
      <w:r>
        <w:t xml:space="preserve"> shall be given by posting written notices thereof, signed by said officers, at least 7 days prior thereto, in 2 public places in said town. A copy of such notice and of the petition shall be served on the owners of the land at least 10 days before the day of hearing.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§1182.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