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FIDUCIARY SECURITY TRANSFERS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FIDUCIARY SECURITY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FIDUCIARY SECURITY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21. FIDUCIARY SECURITY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