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FOREIGN CORPORATIONS</w:t>
      </w:r>
    </w:p>
    <w:p>
      <w:pPr>
        <w:jc w:val="center"/>
        <w:ind w:start="360"/>
        <w:spacing w:before="300" w:after="300"/>
      </w:pPr>
      <w:r>
        <w:rPr>
          <w:b/>
        </w:rPr>
        <w:t>SUBCHAPTER</w:t>
        <w:t xml:space="preserve"> </w:t>
        <w:t>1</w:t>
      </w:r>
    </w:p>
    <w:p>
      <w:pPr>
        <w:jc w:val="center"/>
        <w:ind w:start="360"/>
        <w:spacing w:before="300" w:after="300"/>
      </w:pPr>
      <w:r>
        <w:rPr>
          <w:b/>
        </w:rPr>
        <w:t xml:space="preserve">AUTHORIZATION OF FOREIGN CORPORATION TO TRANSACT BUSINESS IN THIS STATE</w:t>
      </w:r>
    </w:p>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jc w:val="center"/>
        <w:ind w:start="360"/>
        <w:spacing w:before="300" w:after="300"/>
      </w:pPr>
      <w:r>
        <w:rPr>
          <w:b/>
        </w:rPr>
        <w:t>SUBCHAPTER</w:t>
        <w:t xml:space="preserve"> </w:t>
        <w:t>2</w:t>
      </w:r>
    </w:p>
    <w:p>
      <w:pPr>
        <w:jc w:val="center"/>
        <w:ind w:start="360"/>
        <w:spacing w:before="300" w:after="300"/>
      </w:pPr>
      <w:r>
        <w:rPr>
          <w:b/>
        </w:rPr>
        <w:t xml:space="preserve">WITHDRAWAL OR TRANSFER OF AUTHORITY</w:t>
      </w:r>
    </w:p>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jc w:val="center"/>
        <w:ind w:start="360"/>
        <w:spacing w:before="300" w:after="300"/>
      </w:pPr>
      <w:r>
        <w:rPr>
          <w:b/>
        </w:rPr>
        <w:t>SUBCHAPTER</w:t>
        <w:t xml:space="preserve"> </w:t>
        <w:t>3</w:t>
      </w:r>
    </w:p>
    <w:p>
      <w:pPr>
        <w:jc w:val="center"/>
        <w:ind w:start="360"/>
        <w:spacing w:before="300" w:after="300"/>
      </w:pPr>
      <w:r>
        <w:rPr>
          <w:b/>
        </w:rPr>
        <w:t xml:space="preserve">REVOCATION OF AUTHORITY</w:t>
      </w:r>
    </w:p>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15.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