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PL 2003, c. 688, §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