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751</w:t>
        <w:t xml:space="preserve">.  </w:t>
      </w:r>
      <w:r>
        <w:rPr>
          <w:b/>
        </w:rPr>
        <w:t xml:space="preserve">Concurrent jurisdiction</w:t>
      </w:r>
    </w:p>
    <w:p>
      <w:pPr>
        <w:jc w:val="both"/>
        <w:spacing w:before="100" w:after="100"/>
        <w:ind w:start="360"/>
        <w:ind w:firstLine="360"/>
      </w:pPr>
      <w:r>
        <w:rPr/>
      </w:r>
      <w:r>
        <w:rPr/>
      </w:r>
      <w:r>
        <w:t xml:space="preserve">The State shall retain a concurrent jurisdiction with the United States in and over lands acquired as national forests in the State so far that civil process in all cases, and such criminal process as may issue under the authority of the State against any person charged with the commission of crime without or within said jurisdiction, may be executed thereon in like manner as if this section and </w:t>
      </w:r>
      <w:r>
        <w:t>sections 752</w:t>
      </w:r>
      <w:r>
        <w:t xml:space="preserve"> and </w:t>
      </w:r>
      <w:r>
        <w:t>754</w:t>
      </w:r>
      <w:r>
        <w:t xml:space="preserve"> had not passed. The State of Maine shall retain exclusive jurisdiction over all matters referred to in the proviso contained in </w:t>
      </w:r>
      <w:r>
        <w:t>section 752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§751. Concurrent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§751. Concurrent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§751. CONCURRENT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