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§12706. Wildlife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§12706. Wildlife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§12706. WILDLIFE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