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9-1340</w:t>
        <w:t xml:space="preserve">.  </w:t>
      </w:r>
      <w:r>
        <w:rPr>
          <w:b/>
        </w:rPr>
        <w:t xml:space="preserve">Effectiveness of right of recoupment or setoff against deposit account</w:t>
      </w:r>
    </w:p>
    <w:p>
      <w:pPr>
        <w:jc w:val="both"/>
        <w:spacing w:before="100" w:after="0"/>
        <w:ind w:start="360"/>
        <w:ind w:firstLine="360"/>
      </w:pPr>
      <w:r>
        <w:rPr>
          <w:b/>
        </w:rPr>
        <w:t>(1)</w:t>
        <w:t xml:space="preserve">.  </w:t>
      </w:r>
      <w:r>
        <w:rPr>
          <w:b/>
        </w:rPr>
      </w:r>
      <w:r>
        <w:t xml:space="preserve"> </w:t>
      </w:r>
      <w:r>
        <w:t xml:space="preserve">Except as otherwise provided in </w:t>
      </w:r>
      <w:r>
        <w:t>subsection (3)</w:t>
      </w:r>
      <w:r>
        <w:t xml:space="preserve">, a bank with which a deposit account is maintained may exercise any right of recoupment or setoff against a secured party that holds a security interest in the deposit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Except as otherwise provided in </w:t>
      </w:r>
      <w:r>
        <w:t>subsection (3)</w:t>
      </w:r>
      <w:r>
        <w:t xml:space="preserve">, the application of this Article to a security interest in a deposit account does not affect a right of recoupment or setoff of the secured party as to a deposit account maintained with the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The exercise by a bank of a setoff against a deposit account is ineffective against a secured party that holds a security interest in the deposit account that is perfected by control under </w:t>
      </w:r>
      <w:r>
        <w:t>section 9‑1104, subsection (1), paragraph (c)</w:t>
      </w:r>
      <w:r>
        <w:t xml:space="preserve">, if the setoff is based on a claim against the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§9-1340. Effectiveness of right of recoupment or setoff against deposit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§9-1340. Effectiveness of right of recoupment or setoff against deposit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§9-1340. EFFECTIVENESS OF RIGHT OF RECOUPMENT OR SETOFF AGAINST DEPOSIT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