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9-1335</w:t>
        <w:t xml:space="preserve">.  </w:t>
      </w:r>
      <w:r>
        <w:rPr>
          <w:b/>
        </w:rPr>
        <w:t xml:space="preserve">Accessions</w:t>
      </w:r>
    </w:p>
    <w:p>
      <w:pPr>
        <w:jc w:val="both"/>
        <w:spacing w:before="100" w:after="0"/>
        <w:ind w:start="360"/>
        <w:ind w:firstLine="360"/>
      </w:pPr>
      <w:r>
        <w:rPr>
          <w:b/>
        </w:rPr>
        <w:t>(1)</w:t>
        <w:t xml:space="preserve">.  </w:t>
      </w:r>
      <w:r>
        <w:rPr>
          <w:b/>
        </w:rPr>
      </w:r>
      <w:r>
        <w:t xml:space="preserve"> </w:t>
      </w:r>
      <w:r>
        <w:t xml:space="preserve">A security interest may be created in an accession and continues in collateral that becomes an accession.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a security interest is perfected when the collateral becomes an accession, the security interest remains perfected in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Except as otherwise provided in </w:t>
      </w:r>
      <w:r>
        <w:t>subsection (4)</w:t>
      </w:r>
      <w:r>
        <w:t xml:space="preserve">, the other provisions of this Part determine the priority of a security interest in an accession.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security interest in an accession is subordinate to a security interest in the whole that is perfected by compliance with the requirements of a certificate-of-title statute under </w:t>
      </w:r>
      <w:r>
        <w:t>section 9‑1311,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After default, subject to </w:t>
      </w:r>
      <w:r>
        <w:t>Part 6</w:t>
      </w:r>
      <w:r>
        <w:t xml:space="preserve">, a secured party may remove an accession from other goods if the security interest in the accession has priority over the claims of every person having an interest in the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secured party that removes an accession from other goods under </w:t>
      </w:r>
      <w:r>
        <w:t>subsection (5)</w:t>
      </w:r>
      <w:r>
        <w:t xml:space="preserv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§9-1335. Accessions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§9-1335. Accessions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§9-1335. ACCESSIONS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