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w:t>
        <w:t xml:space="preserve">.  </w:t>
      </w:r>
      <w:r>
        <w:rPr>
          <w:b/>
        </w:rPr>
        <w:t xml:space="preserve">Low-level Waste Siting Fund</w:t>
      </w:r>
    </w:p>
    <w:p>
      <w:pPr>
        <w:jc w:val="both"/>
        <w:spacing w:before="100" w:after="100"/>
        <w:ind w:start="360"/>
      </w:pPr>
      <w:r>
        <w:rPr>
          <w:b/>
        </w:rPr>
        <w:t>(REALLOCATED TO TITLE 38, SECTION 1477)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§9 (NEW). PL 1983, c. 88, §§3,4 (AMD). PL 1983, c. 381, §6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§176. Low-level Waste Siting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 Low-level Waste Siting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§176. LOW-LEVEL WASTE SITING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