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w:t>
        <w:t xml:space="preserve">.  </w:t>
      </w:r>
      <w:r>
        <w:rPr>
          <w:b/>
        </w:rPr>
        <w:t xml:space="preserve">Lien</w:t>
      </w:r>
    </w:p>
    <w:p>
      <w:pPr>
        <w:jc w:val="both"/>
        <w:spacing w:before="100" w:after="0"/>
        <w:ind w:start="360"/>
        <w:ind w:firstLine="360"/>
      </w:pPr>
      <w:r>
        <w:rPr>
          <w:b/>
        </w:rPr>
        <w:t>1</w:t>
        <w:t xml:space="preserve">.  </w:t>
      </w:r>
      <w:r>
        <w:rPr>
          <w:b/>
        </w:rPr>
        <w:t xml:space="preserve">Lien created.</w:t>
        <w:t xml:space="preserve"> </w:t>
      </w:r>
      <w:r>
        <w:t xml:space="preserve"> </w:t>
      </w:r>
      <w:r>
        <w:t xml:space="preserve">A facility owner has a lien on property stored at that facility for rent, labor or other charges and for expenses reasonably incurred in the sale of that property under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Exclusion.</w:t>
        <w:t xml:space="preserve"> </w:t>
      </w:r>
      <w:r>
        <w:t xml:space="preserve"> </w:t>
      </w:r>
      <w:r>
        <w:t xml:space="preserve">This chapter does not create a lien on a documented vessel subject to a preferred ship mortgage or other preferred maritime lien pursuant to 46 United States Code, Chapter 313.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PL 2011, c. 691,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§1383.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§1383.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