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613</w:t>
      </w:r>
    </w:p>
    <w:p>
      <w:pPr>
        <w:jc w:val="center"/>
        <w:ind w:start="360"/>
        <w:spacing w:before="300" w:after="300"/>
      </w:pPr>
      <w:r>
        <w:rPr>
          <w:b/>
        </w:rPr>
        <w:t xml:space="preserve">LANDSCAPE GARDENING</w:t>
      </w:r>
    </w:p>
    <w:p>
      <w:pPr>
        <w:jc w:val="both"/>
        <w:spacing w:before="100" w:after="100"/>
        <w:ind w:start="1080" w:hanging="720"/>
      </w:pPr>
      <w:r>
        <w:rPr>
          <w:b/>
        </w:rPr>
        <w:t>§</w:t>
        <w:t>3501</w:t>
        <w:t xml:space="preserve">.  </w:t>
      </w:r>
      <w:r>
        <w:rPr>
          <w:b/>
        </w:rPr>
        <w:t xml:space="preserve">Labor, services and materials</w:t>
      </w:r>
    </w:p>
    <w:p>
      <w:pPr>
        <w:jc w:val="both"/>
        <w:spacing w:before="100" w:after="100"/>
        <w:ind w:start="360"/>
        <w:ind w:firstLine="360"/>
      </w:pPr>
      <w:r>
        <w:rPr/>
      </w:r>
      <w:r>
        <w:rPr/>
      </w:r>
      <w:r>
        <w:t xml:space="preserve">Whoever performs labor or services or furnishes labor, materials or services in the laying out or construction of any road, path or walk, or in improving or beautifying any land in a manner commonly known as landscape gardening, by virtue of a contract with or by consent of the owner, has a lien on the lot of land over which such road, path or walk is laid out or constructed or on the land so improved and beautified, to secure payment thereof, with costs. Such lien may be preserved and enforced in the same manner and under the same restrictions as liens on buildings and lots are preserved and enforced under </w:t>
      </w:r>
      <w:r>
        <w:t>chapter 603</w:t>
      </w:r>
      <w:r>
        <w:t xml:space="preserve">, and is made subject to all the provisions of said chapter wherever applicable.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613. LANDSCAPE GARDENING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613. LANDSCAPE GARDENING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613. LANDSCAPE GARDENING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