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Omnibus errors and inconsistencies bill</w:t>
      </w:r>
    </w:p>
    <w:p>
      <w:pPr>
        <w:jc w:val="both"/>
        <w:spacing w:before="100" w:after="100"/>
        <w:ind w:start="360"/>
        <w:ind w:firstLine="360"/>
      </w:pPr>
      <w:r>
        <w:rPr/>
      </w:r>
      <w:r>
        <w:rPr/>
      </w:r>
      <w:r>
        <w:t xml:space="preserve">The revisor shall prepare legislation containing proposed changes and consolidations identified but not made under </w:t>
      </w:r>
      <w:r>
        <w:t>section 93</w:t>
      </w:r>
      <w:r>
        <w:t xml:space="preserve">.  The legislation may also contain any other statutory errors or inconsistencies identified by the revisor.  The legislation must be submitted to the joint standing committee of the Legislature having jurisdiction over judiciary matters, with a copy to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 Omnibus errors and inconsistencies bill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Omnibus errors and inconsistencies bill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§94. OMNIBUS ERRORS AND INCONSISTENCIES BILL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