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2019, c. 667, Pt. B, §4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§§1-3 (AMD); PL 2019, c. 667, Pt. B, §§1-4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