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State butterfly</w:t>
      </w:r>
    </w:p>
    <w:p>
      <w:pPr>
        <w:jc w:val="both"/>
        <w:spacing w:before="100" w:after="100"/>
        <w:ind w:start="360"/>
        <w:ind w:firstLine="360"/>
      </w:pPr>
      <w:r>
        <w:rPr/>
      </w:r>
      <w:r>
        <w:rPr/>
      </w:r>
      <w:r>
        <w:t xml:space="preserve">The Pink-edged Sulphur (Colias interior) is the official state butterfly.</w:t>
      </w:r>
      <w:r>
        <w:t xml:space="preserve">  </w:t>
      </w:r>
      <w:r xmlns:wp="http://schemas.openxmlformats.org/drawingml/2010/wordprocessingDrawing" xmlns:w15="http://schemas.microsoft.com/office/word/2012/wordml">
        <w:rPr>
          <w:rFonts w:ascii="Arial" w:hAnsi="Arial" w:cs="Arial"/>
          <w:sz w:val="22"/>
          <w:szCs w:val="22"/>
        </w:rPr>
        <w:t xml:space="preserve">[PL 2023,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 State butterfly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State butterfly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§231. STATE BUTTERFLY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