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§4-110. CHARGE FOR INSURANCE IN CONNECTION WITH A REFINANCING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