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Scope</w:t>
      </w:r>
    </w:p>
    <w:p>
      <w:pPr>
        <w:jc w:val="both"/>
        <w:spacing w:before="100" w:after="100"/>
        <w:ind w:start="360"/>
        <w:ind w:firstLine="360"/>
      </w:pPr>
      <w:r>
        <w:rPr/>
      </w:r>
      <w:r>
        <w:rPr/>
      </w:r>
      <w:r>
        <w:t>Parts 2</w:t>
      </w:r>
      <w:r>
        <w:t xml:space="preserve">, </w:t>
      </w:r>
      <w:r>
        <w:t>3</w:t>
      </w:r>
      <w:r>
        <w:t xml:space="preserve"> and </w:t>
      </w:r>
      <w:r>
        <w:t>4</w:t>
      </w:r>
      <w:r>
        <w:t xml:space="preserve"> of this Article apply, respectively, to disclosure, limitations on agreements and practices, and limitations on consumer's liability with respect to consumer credit transactions. </w:t>
      </w:r>
      <w:r>
        <w:t>Part 5</w:t>
      </w:r>
      <w:r>
        <w:t xml:space="preserve"> applies to home solicitation sales.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