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4113</w:t>
        <w:t xml:space="preserve">.  </w:t>
      </w:r>
      <w:r>
        <w:rPr>
          <w:b/>
        </w:rPr>
        <w:t xml:space="preserve">Authority of State Tax Assessor</w:t>
      </w:r>
    </w:p>
    <w:p>
      <w:pPr>
        <w:jc w:val="both"/>
        <w:spacing w:before="100" w:after="100"/>
        <w:ind w:start="360"/>
        <w:ind w:firstLine="360"/>
      </w:pPr>
      <w:r>
        <w:rPr/>
      </w:r>
      <w:r>
        <w:rPr/>
      </w:r>
      <w:r>
        <w:t xml:space="preserve">The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The assessor may enforce the collection of any taxes secured by bond in a civil action brought on the bond regardless of the fact that some 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§4113. Authority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§4113. Authority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§4113. AUTHORITY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