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Grantor refusing to acknowledge</w:t>
      </w:r>
    </w:p>
    <w:p>
      <w:pPr>
        <w:jc w:val="both"/>
        <w:spacing w:before="100" w:after="100"/>
        <w:ind w:start="360"/>
        <w:ind w:firstLine="360"/>
      </w:pPr>
      <w:r>
        <w:rPr/>
      </w:r>
      <w:r>
        <w:rPr/>
      </w:r>
      <w:r>
        <w:t xml:space="preserve">When a grantor refuses to acknowledge his deed, the grantee or person claiming under him may leave a true copy of it with the register of deeds, and it shall have the same effect for 40 days as a record of the deed.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Grantor refusing to acknowledge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Grantor refusing to acknowledge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§303. GRANTOR REFUSING TO ACKNOWLEDGE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