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§6 (RP); PL 2013, c. 527, §9 (AFF).]</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B</w:t>
        <w:t xml:space="preserve">.  </w:t>
      </w:r>
      <w:r>
        <w:rPr/>
      </w:r>
      <w:r>
        <w:t xml:space="preserve">An applicant who is licensed in good standing under the laws of another jurisdiction may qualify for licensure pursuant to rules adopted by the board, including, but not limited to, passing the examination as required by </w:t>
      </w:r>
      <w:r>
        <w:t>section 5515,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527, §7 (AMD); PL 2013, c. 527,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2011, c. 286, Pt. B, §5 (REV). PL 2013, c. 527, §§6, 7 (AMD). PL 2013, c. 527, §9 (AFF). PL 2021, c. 642,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§5516.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§5516.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