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4317</w:t>
        <w:t xml:space="preserve">.  </w:t>
      </w:r>
      <w:r>
        <w:rPr>
          <w:b/>
        </w:rPr>
        <w:t xml:space="preserve">Compliance</w:t>
      </w:r>
    </w:p>
    <w:p>
      <w:pPr>
        <w:jc w:val="both"/>
        <w:spacing w:before="100" w:after="100"/>
        <w:ind w:start="360"/>
        <w:ind w:firstLine="360"/>
      </w:pPr>
      <w:r>
        <w:rPr/>
      </w:r>
      <w:r>
        <w:rPr/>
      </w:r>
      <w:r>
        <w:t xml:space="preserve">Beginning January 1, 1998, a person seeking to engage in the business of micropigmentation shall comply with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1997, c. 383,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§4317.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§4317.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§4317.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