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Supplemental principles of law; rate of interest</w:t>
      </w:r>
    </w:p>
    <w:p>
      <w:pPr>
        <w:jc w:val="both"/>
        <w:spacing w:before="100" w:after="0"/>
        <w:ind w:start="360"/>
        <w:ind w:firstLine="360"/>
      </w:pPr>
      <w:r>
        <w:rPr>
          <w:b/>
        </w:rPr>
        <w:t>1</w:t>
        <w:t xml:space="preserve">.  </w:t>
      </w:r>
      <w:r>
        <w:rPr>
          <w:b/>
        </w:rPr>
        <w:t xml:space="preserve">Principles of law and equity supplement.</w:t>
        <w:t xml:space="preserve"> </w:t>
      </w:r>
      <w:r>
        <w:t xml:space="preserve"> </w:t>
      </w:r>
      <w:r>
        <w:t xml:space="preserve">Unless displaced by particular provisions of this chapter, the principles of law and equity supplement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Default interest rate.</w:t>
        <w:t xml:space="preserve"> </w:t>
      </w:r>
      <w:r>
        <w:t xml:space="preserve"> </w:t>
      </w:r>
      <w:r>
        <w:t xml:space="preserve">If an obligation to pay interest arises under this chapter and the rate is not specified, the rate is that specified in </w:t>
      </w:r>
      <w:r>
        <w:t>Title 14, section 1602‑B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Supplemental principles of law;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Supplemental principles of law;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§1307. SUPPLEMENTAL PRINCIPLES OF LAW;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