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w:t>
        <w:t xml:space="preserve">.  </w:t>
      </w:r>
      <w:r>
        <w:rPr>
          <w:b/>
        </w:rPr>
        <w:t xml:space="preserve">Transfer of property and assets</w:t>
      </w:r>
    </w:p>
    <w:p>
      <w:pPr>
        <w:jc w:val="both"/>
        <w:spacing w:before="100" w:after="100"/>
        <w:ind w:start="360"/>
        <w:ind w:firstLine="360"/>
      </w:pPr>
      <w:r>
        <w:rPr/>
      </w:r>
      <w:r>
        <w:rPr/>
      </w:r>
      <w:r>
        <w:t xml:space="preserve">The directors shall determine what property or properties, if any, owned by Lincoln County and Sagadahoc County may be necessary to perform the functions of the jail authority and may request in writing that the commissioners convey title to the property to the jail authority, and the commissioners may make the conveyance.  The jail authority shall pay fair compensation for the property or properties. Any request by the directors must be in writing within 2 years of the date of the certificate of organization. The authority shall provide a right of first refusal to the county in which the property is located should the property no longer be needed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§1852.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§1852.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