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7702-A</w:t>
        <w:t xml:space="preserve">.  </w:t>
      </w:r>
      <w:r>
        <w:rPr>
          <w:b/>
        </w:rPr>
        <w:t xml:space="preserve">Violations; penalties</w:t>
      </w:r>
    </w:p>
    <w:p>
      <w:pPr>
        <w:jc w:val="both"/>
        <w:spacing w:before="100" w:after="0"/>
        <w:ind w:start="360"/>
        <w:ind w:firstLine="360"/>
      </w:pPr>
      <w:r>
        <w:rPr>
          <w:b/>
        </w:rPr>
        <w:t>1</w:t>
        <w:t xml:space="preserve">.  </w:t>
      </w:r>
      <w:r>
        <w:rPr>
          <w:b/>
        </w:rPr>
        <w:t xml:space="preserve">Criminal penalties.</w:t>
        <w:t xml:space="preserve"> </w:t>
      </w:r>
      <w:r>
        <w:t xml:space="preserve"> </w:t>
      </w:r>
      <w:r>
        <w:t xml:space="preserve">Except as otherwise provided by law, a person who violates any provision of this subtitle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363, §3 (NEW).]</w:t>
      </w:r>
    </w:p>
    <w:p>
      <w:pPr>
        <w:jc w:val="both"/>
        <w:spacing w:before="100" w:after="100"/>
        <w:ind w:start="360"/>
        <w:ind w:firstLine="360"/>
      </w:pPr>
      <w:r>
        <w:rPr>
          <w:b/>
        </w:rPr>
        <w:t>2</w:t>
        <w:t xml:space="preserve">.  </w:t>
      </w:r>
      <w:r>
        <w:rPr>
          <w:b/>
        </w:rPr>
        <w:t xml:space="preserve">Civil penalties.</w:t>
        <w:t xml:space="preserve"> </w:t>
      </w:r>
      <w:r>
        <w:t xml:space="preserve"> </w:t>
      </w:r>
      <w:r>
        <w:t xml:space="preserve">The following penalties apply to the following violations.</w:t>
      </w:r>
    </w:p>
    <w:p>
      <w:pPr>
        <w:jc w:val="both"/>
        <w:spacing w:before="100" w:after="0"/>
        <w:ind w:start="720"/>
      </w:pPr>
      <w:r>
        <w:rPr/>
        <w:t>A</w:t>
        <w:t xml:space="preserve">.  </w:t>
      </w:r>
      <w:r>
        <w:rPr/>
      </w:r>
      <w:r>
        <w:t xml:space="preserve">A person who violates </w:t>
      </w:r>
      <w:r>
        <w:t>section 7703</w:t>
      </w:r>
      <w:r>
        <w:t xml:space="preserve"> or </w:t>
      </w:r>
      <w:r>
        <w:t>8603</w:t>
      </w:r>
      <w:r>
        <w:t xml:space="preserve"> or rules adopted pursuant to those sections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K, §27 (NEW); PL 2003, c. 452, Pt. X, §2 (AFF).]</w:t>
      </w:r>
    </w:p>
    <w:p>
      <w:pPr>
        <w:jc w:val="both"/>
        <w:spacing w:before="100" w:after="0"/>
        <w:ind w:start="720"/>
      </w:pPr>
      <w:r>
        <w:rPr/>
        <w:t>B</w:t>
        <w:t xml:space="preserve">.  </w:t>
      </w:r>
      <w:r>
        <w:rPr/>
      </w:r>
      <w:r>
        <w:t xml:space="preserve">A person who violates rules governing child-to-staff ratios adopted under </w:t>
      </w:r>
      <w:r>
        <w:t>section 8302‑A, subsection 1, paragraph A</w:t>
      </w:r>
      <w:r>
        <w:t xml:space="preserve"> or </w:t>
      </w:r>
      <w:r>
        <w:t>subsection 2, paragraph G</w:t>
      </w:r>
      <w:r>
        <w:t xml:space="preserve"> commits a civil violation for which a fine of not more than $500 per incident or $500 per number of children above the limitation set by rule, or both,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K, §27 (NEW); PL 2003, c. 452, Pt. X, §2 (AFF).]</w:t>
      </w:r>
    </w:p>
    <w:p>
      <w:pPr>
        <w:jc w:val="both"/>
        <w:spacing w:before="100" w:after="0"/>
        <w:ind w:start="720"/>
      </w:pPr>
      <w:r>
        <w:rPr/>
        <w:t>C</w:t>
        <w:t xml:space="preserve">.  </w:t>
      </w:r>
      <w:r>
        <w:rPr/>
      </w:r>
      <w:r>
        <w:t xml:space="preserve">A person who violates the following sections or rules adopted pursuant to those sections commits a civil violation for which a fine of not more than $500 per incident may be adjudged:</w:t>
      </w:r>
    </w:p>
    <w:p>
      <w:pPr>
        <w:jc w:val="both"/>
        <w:spacing w:before="100" w:after="0"/>
        <w:ind w:start="1080"/>
      </w:pPr>
      <w:r>
        <w:rPr/>
        <w:t>(</w:t>
        <w:t>1</w:t>
        <w:t xml:space="preserve">)  </w:t>
      </w:r>
      <w:r>
        <w:rPr/>
      </w:r>
      <w:r>
        <w:t>Section 7801, subsection 1, paragraph A</w:t>
      </w:r>
      <w:r>
        <w:t xml:space="preserve">;</w:t>
      </w:r>
    </w:p>
    <w:p>
      <w:pPr>
        <w:jc w:val="both"/>
        <w:spacing w:before="100" w:after="0"/>
        <w:ind w:start="1080"/>
      </w:pPr>
      <w:r>
        <w:rPr/>
        <w:t>(</w:t>
        <w:t>2</w:t>
        <w:t xml:space="preserve">)  </w:t>
      </w:r>
      <w:r>
        <w:rPr/>
      </w:r>
      <w:r>
        <w:t>Section 8301‑A</w:t>
      </w:r>
      <w:r>
        <w:t xml:space="preserve">; or</w:t>
      </w:r>
    </w:p>
    <w:p>
      <w:pPr>
        <w:jc w:val="both"/>
        <w:spacing w:before="100" w:after="0"/>
        <w:ind w:start="1080"/>
      </w:pPr>
      <w:r>
        <w:rPr/>
        <w:t>(</w:t>
        <w:t>3</w:t>
        <w:t xml:space="preserve">)  </w:t>
      </w:r>
      <w:r>
        <w:rPr/>
      </w:r>
      <w:r>
        <w:t>Section 8302‑A, subsection 1, paragraphs B</w:t>
      </w:r>
      <w:r>
        <w:t xml:space="preserve"> to </w:t>
      </w:r>
      <w:r>
        <w:t>J</w:t>
      </w:r>
      <w:r>
        <w:t xml:space="preserve"> and </w:t>
      </w:r>
      <w:r>
        <w:t>subsection 2, paragraphs A</w:t>
      </w:r>
      <w:r>
        <w:t xml:space="preserve"> to </w:t>
      </w:r>
      <w:r>
        <w:t>F</w:t>
      </w:r>
      <w:r>
        <w:t xml:space="preserve"> and </w:t>
      </w:r>
      <w:r>
        <w:t>H</w:t>
      </w:r>
      <w:r>
        <w:t xml:space="preserve"> to </w:t>
      </w:r>
      <w:r>
        <w:t>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 §3 (NEW).]</w:t>
      </w:r>
    </w:p>
    <w:p>
      <w:pPr>
        <w:jc w:val="both"/>
        <w:spacing w:before="100" w:after="0"/>
        <w:ind w:start="360"/>
      </w:pPr>
      <w:r>
        <w:rPr/>
      </w:r>
      <w:r>
        <w:rPr/>
      </w:r>
      <w:r>
        <w:t xml:space="preserve">A civil violation under this subsection must be enforced pursuant to </w:t>
      </w:r>
      <w:r>
        <w:t>Title 17‑A, section 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§3 (AMD).]</w:t>
      </w:r>
    </w:p>
    <w:p>
      <w:pPr>
        <w:jc w:val="both"/>
        <w:spacing w:before="100" w:after="100"/>
        <w:ind w:start="360"/>
        <w:ind w:firstLine="360"/>
      </w:pPr>
      <w:r>
        <w:rPr>
          <w:b/>
        </w:rPr>
        <w:t>3</w:t>
        <w:t xml:space="preserve">.  </w:t>
      </w:r>
      <w:r>
        <w:rPr>
          <w:b/>
        </w:rPr>
        <w:t xml:space="preserve">Licensure provisions.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§4 (RP).]</w:t>
      </w:r>
    </w:p>
    <w:p>
      <w:pPr>
        <w:jc w:val="both"/>
        <w:spacing w:before="100" w:after="0"/>
        <w:ind w:start="360"/>
        <w:ind w:firstLine="360"/>
      </w:pPr>
      <w:r>
        <w:rPr>
          <w:b/>
        </w:rPr>
        <w:t>4</w:t>
        <w:t xml:space="preserve">.  </w:t>
      </w:r>
      <w:r>
        <w:rPr>
          <w:b/>
        </w:rPr>
        <w:t xml:space="preserve">Dedicated funds.</w:t>
        <w:t xml:space="preserve"> </w:t>
      </w:r>
      <w:r>
        <w:t xml:space="preserve"> </w:t>
      </w:r>
      <w:r>
        <w:t xml:space="preserve">Fines and forfeitures adjudged under this section are payable to the Purchased Social Services Other Special Revenue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363, §3 (NEW). PL 2003, c. 452, §K27 (AMD). PL 2003, c. 452, §X2 (AFF). PL 2005, c. 530, §6 (AMD). PL 2015, c. 497, §1 (AMD). PL 2021, c. 35,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§7702-A. Violations;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§7702-A. Violations;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§7702-A. VIOLATIONS;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