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9506</w:t>
        <w:t xml:space="preserve">.  </w:t>
      </w:r>
      <w:r>
        <w:rPr>
          <w:b/>
        </w:rPr>
        <w:t xml:space="preserve">License; refusal to renew; suspension; revocation</w:t>
      </w:r>
    </w:p>
    <w:p>
      <w:pPr>
        <w:jc w:val="both"/>
        <w:spacing w:before="100" w:after="100"/>
        <w:ind w:start="360"/>
        <w:ind w:firstLine="360"/>
      </w:pPr>
      <w:r>
        <w:rPr/>
      </w:r>
      <w:r>
        <w:rPr/>
      </w:r>
      <w:r>
        <w:t xml:space="preserve">The commissioner may investigate complaints involving a school, including any allegation of noncompliance with or violation of this chapter and applicable rules.  The commissioner may, after a hearing in conformance with </w:t>
      </w:r>
      <w:r>
        <w:t>Title 5, chapter 375, subchapter IV</w:t>
      </w:r>
      <w:r>
        <w:t xml:space="preserve">, to the extent applicable, amend, modify or refuse to renew any license and may revoke,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The District Court may suspend or revoke the license of any person found to have violated any provision of this chapter or any lawful order or rule issued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841,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§9506. License; refusal to renew; suspension;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§9506. License; refusal to renew; suspension;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§9506. LICENSE; REFUSAL TO RENEW; SUSPENSION;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