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5025</w:t>
        <w:t xml:space="preserve">.  </w:t>
      </w:r>
      <w:r>
        <w:rPr>
          <w:b/>
        </w:rPr>
        <w:t xml:space="preserve">Compliance</w:t>
      </w:r>
    </w:p>
    <w:p>
      <w:pPr>
        <w:jc w:val="both"/>
        <w:spacing w:before="100" w:after="100"/>
        <w:ind w:start="360"/>
        <w:ind w:firstLine="360"/>
      </w:pPr>
      <w:r>
        <w:rPr/>
      </w:r>
      <w:r>
        <w:rPr/>
      </w:r>
      <w:r>
        <w:t xml:space="preserve">Appeals that question the local school unit's policy compliance with this subchapter must be made to the commissioner, whose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§5025.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§5025.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§5025.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