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4004</w:t>
        <w:t xml:space="preserve">.  </w:t>
      </w:r>
      <w:r>
        <w:rPr>
          <w:b/>
        </w:rPr>
        <w:t xml:space="preserve">Fencing</w:t>
      </w:r>
    </w:p>
    <w:p>
      <w:pPr>
        <w:jc w:val="both"/>
        <w:spacing w:before="100" w:after="100"/>
        <w:ind w:start="360"/>
        <w:ind w:firstLine="360"/>
      </w:pPr>
      <w:r>
        <w:rPr/>
      </w:r>
      <w:r>
        <w:rPr/>
      </w:r>
      <w:r>
        <w:t xml:space="preserve">Schoolhouse lots and playgrounds that require fencing shall be fenced by the municipality or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§4004. Fencing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§4004. Fencing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§4004. FENCING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