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12926</w:t>
        <w:t xml:space="preserve">.  </w:t>
      </w:r>
      <w:r>
        <w:rPr>
          <w:b/>
        </w:rPr>
        <w:t xml:space="preserve">Deferments</w:t>
      </w:r>
    </w:p>
    <w:p>
      <w:pPr>
        <w:jc w:val="both"/>
        <w:spacing w:before="100" w:after="100"/>
        <w:ind w:start="360"/>
        <w:ind w:firstLine="360"/>
      </w:pPr>
      <w:r>
        <w:rPr/>
      </w:r>
      <w:r>
        <w:rPr/>
      </w:r>
      <w:r>
        <w:t xml:space="preserve">The authority may grant deferments on the repayment of a loan under the program for causes established by rule.  Interest at a rate to be determined by rule of the authority may be assessed during a deferment.  The student's total debt to the authority, including principal and interest, must be repaid.  The authority shall make determinations of deferment on a case-by-case basis.  The decision of the authority regarding deferment is final.</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§12926. Deferments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§12926. Deferments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§12926. DEFERMENTS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