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10986</w:t>
        <w:t xml:space="preserve">.  </w:t>
      </w:r>
      <w:r>
        <w:rPr>
          <w:b/>
        </w:rPr>
        <w:t xml:space="preserve">Support of advisory committee</w:t>
      </w:r>
    </w:p>
    <w:p>
      <w:pPr>
        <w:jc w:val="both"/>
        <w:spacing w:before="100" w:after="100"/>
        <w:ind w:start="360"/>
        <w:ind w:firstLine="360"/>
      </w:pPr>
      <w:r>
        <w:rPr/>
      </w:r>
      <w:r>
        <w:rPr/>
      </w:r>
      <w:r>
        <w:t xml:space="preserve">The university shall provide support to the Advisory Committee on Family Development Accounts under </w:t>
      </w:r>
      <w:r>
        <w:t>section 10985</w:t>
      </w:r>
      <w:r>
        <w:t xml:space="preserve">, certify participating financial institutions and review proposals from community development organizations seeking to manage family development accounts.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§10986. Support of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§10986. Support of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§10986. SUPPORT OF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