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2153</w:t>
        <w:t xml:space="preserve">.  </w:t>
      </w:r>
      <w:r>
        <w:rPr>
          <w:b/>
        </w:rPr>
        <w:t xml:space="preserve">Publication of delinquent child support obligors</w:t>
      </w:r>
    </w:p>
    <w:p>
      <w:pPr>
        <w:jc w:val="both"/>
        <w:spacing w:before="100" w:after="0"/>
        <w:ind w:start="360"/>
        <w:ind w:firstLine="360"/>
      </w:pPr>
      <w:r>
        <w:rPr>
          <w:b/>
        </w:rPr>
        <w:t>1</w:t>
        <w:t xml:space="preserve">.  </w:t>
      </w:r>
      <w:r>
        <w:rPr>
          <w:b/>
        </w:rPr>
        <w:t xml:space="preserve">Publication.</w:t>
        <w:t xml:space="preserve"> </w:t>
      </w:r>
      <w:r>
        <w:t xml:space="preserve"> </w:t>
      </w:r>
      <w:r>
        <w:t xml:space="preserve">The department may publish in the State's newspapers the names of delinquent child support obligors who owe unpaid child support.  Publication may include the place of residence and the amount of unpaid child support of each obligor.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Immunity.</w:t>
        <w:t xml:space="preserve"> </w:t>
      </w:r>
      <w:r>
        <w:t xml:space="preserve"> </w:t>
      </w:r>
      <w:r>
        <w:t xml:space="preserve">Newspapers and their employees are immune from any criminal or civil liability as a result of publication under </w:t>
      </w:r>
      <w:r>
        <w:t>subsection 1</w:t>
      </w:r>
      <w:r>
        <w:t xml:space="preserve">, unless publication is a result of negligent or intentional misconduct.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§2153. Publication of delinquent child support obligors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§2153. Publication of delinquent child support obligors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§2153. PUBLICATION OF DELINQUENT CHILD SUPPORT OBLIGORS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