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Report of genetic testing</w:t>
      </w:r>
    </w:p>
    <w:p>
      <w:pPr>
        <w:jc w:val="both"/>
        <w:spacing w:before="100" w:after="0"/>
        <w:ind w:start="360"/>
        <w:ind w:firstLine="360"/>
      </w:pPr>
      <w:r>
        <w:rPr>
          <w:b/>
        </w:rPr>
        <w:t>1</w:t>
        <w:t xml:space="preserve">.  </w:t>
      </w:r>
      <w:r>
        <w:rPr>
          <w:b/>
        </w:rPr>
        <w:t xml:space="preserve">Report; self-authenticating.</w:t>
        <w:t xml:space="preserve"> </w:t>
      </w:r>
      <w:r>
        <w:t xml:space="preserve"> </w:t>
      </w:r>
      <w:r>
        <w:t xml:space="preserve">A report of genetic testing must be in a record and signed under penalty of perjury by a designee of the testing laboratory. A report made under the requirements of this subchapter is self-authenticating.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Documentation.</w:t>
        <w:t xml:space="preserve"> </w:t>
      </w:r>
      <w:r>
        <w:t xml:space="preserve"> </w:t>
      </w:r>
      <w:r>
        <w:t xml:space="preserve">Documentation from the testing laboratory of the following information is sufficient to establish a reliable chain of custody that allows the results of genetic testing to be admissible without testimony:</w:t>
      </w:r>
    </w:p>
    <w:p>
      <w:pPr>
        <w:jc w:val="both"/>
        <w:spacing w:before="100" w:after="0"/>
        <w:ind w:start="720"/>
      </w:pPr>
      <w:r>
        <w:rPr/>
        <w:t>A</w:t>
        <w:t xml:space="preserve">.  </w:t>
      </w:r>
      <w:r>
        <w:rPr/>
      </w:r>
      <w:r>
        <w:t xml:space="preserve">The names and photographs of the individuals whose specimens have been taken;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names of the individuals who collected the specimens;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places and dates the specimens were collected;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names of the individuals who received the specimens in the testing laboratory;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dates the specimens were received.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§1903. Report of genetic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Report of genetic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§1903. REPORT OF GENETIC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