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1766</w:t>
        <w:t xml:space="preserve">.  </w:t>
      </w:r>
      <w:r>
        <w:rPr>
          <w:b/>
        </w:rPr>
        <w:t xml:space="preserve">Enforcement of registered determination</w:t>
      </w:r>
    </w:p>
    <w:p>
      <w:pPr>
        <w:jc w:val="both"/>
        <w:spacing w:before="100" w:after="0"/>
        <w:ind w:start="360"/>
        <w:ind w:firstLine="360"/>
      </w:pPr>
      <w:r>
        <w:rPr>
          <w:b/>
        </w:rPr>
        <w:t>1</w:t>
        <w:t xml:space="preserve">.  </w:t>
      </w:r>
      <w:r>
        <w:rPr>
          <w:b/>
        </w:rPr>
        <w:t xml:space="preserve">Any relief normally available.</w:t>
        <w:t xml:space="preserve"> </w:t>
      </w:r>
      <w:r>
        <w:t xml:space="preserve"> </w:t>
      </w:r>
      <w:r>
        <w:t xml:space="preserve">A court of this State may grant any relief normally available under the law of this State to enforce a registered child custody determination made by a court of another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2</w:t>
        <w:t xml:space="preserve">.  </w:t>
      </w:r>
      <w:r>
        <w:rPr>
          <w:b/>
        </w:rPr>
        <w:t xml:space="preserve">Recognition and enforcement without modification.</w:t>
        <w:t xml:space="preserve"> </w:t>
      </w:r>
      <w:r>
        <w:t xml:space="preserve"> </w:t>
      </w:r>
      <w:r>
        <w:t xml:space="preserve">A court of this State shall recognize and enforce, but may not modify, except in accordance with </w:t>
      </w:r>
      <w:r>
        <w:t>subchapter II</w:t>
      </w:r>
      <w:r>
        <w:t xml:space="preserve">, a registered child custody determination of a court of another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§1766. Enforcement of registered determination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§1766. Enforcement of registered determination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§1766. ENFORCEMENT OF REGISTERED DETERMINATION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