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Commutation to jail</w:t>
      </w:r>
    </w:p>
    <w:p>
      <w:pPr>
        <w:jc w:val="both"/>
        <w:spacing w:before="100" w:after="100"/>
        <w:ind w:start="360"/>
        <w:ind w:firstLine="360"/>
      </w:pPr>
      <w:r>
        <w:rPr/>
      </w:r>
      <w:r>
        <w:rPr/>
      </w:r>
      <w:r>
        <w:t xml:space="preserve">When a person is sentenced and committed to the custody of the Department of Corrections, the Governor may, if the Governor considers it consistent with the public interest and the welfare of the prisoner, commute that prisoner's sentence to imprisonment in any county jail, there to be supported at the charge of the State at an expense not exceeding the price paid for the support of other prisoners in that county jail.</w:t>
      </w:r>
      <w:r>
        <w:t xml:space="preserve">  </w:t>
      </w:r>
      <w:r xmlns:wp="http://schemas.openxmlformats.org/drawingml/2010/wordprocessingDrawing" xmlns:w15="http://schemas.microsoft.com/office/word/2012/wordml">
        <w:rPr>
          <w:rFonts w:ascii="Arial" w:hAnsi="Arial" w:cs="Arial"/>
          <w:sz w:val="22"/>
          <w:szCs w:val="22"/>
        </w:rPr>
        <w:t xml:space="preserve">[PL 2005,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§289 (AMD). PL 1975, c. 771, §160 (AMD). PL 2005, c. 329,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Commutation to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Commutation to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§2162. COMMUTATION TO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