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§1071. Sureties to make statement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Sureties to make statement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§1071. SURETIES TO MAKE STATEMENT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