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POSSESSION OF FIREARMS BY PROHIBITED PERSONS</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608, Pt. B, §5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E-1</w:t>
        <w:t xml:space="preserve">.  </w:t>
      </w:r>
      <w:r>
        <w:rPr/>
      </w:r>
      <w:r>
        <w:t xml:space="preserve">Is currently a restricted person under </w:t>
      </w:r>
      <w:r>
        <w:t>Title 34‑B, section 3862‑A, subsection 2</w:t>
      </w:r>
      <w:r>
        <w:t xml:space="preserve"> or </w:t>
      </w:r>
      <w:r>
        <w:t>subsection 6, paragraph D</w:t>
      </w:r>
      <w:r>
        <w:t xml:space="preserve">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381, §1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J</w:t>
        <w:t xml:space="preserve">.  </w:t>
      </w:r>
      <w:r>
        <w:rPr/>
      </w:r>
      <w:r>
        <w:t xml:space="preserve">Has, having been a citizen of the United States, renounced that person's citizenship.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381,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w:t>
      </w:r>
    </w:p>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knowingly or intentionally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POSSESSION OF FIREARMS BY PROHIBITED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15. POSSESSION OF FIREARMS BY PROHIBITED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