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857</w:t>
        <w:t xml:space="preserve">.  </w:t>
      </w:r>
      <w:r>
        <w:rPr>
          <w:b/>
        </w:rPr>
        <w:t xml:space="preserve">Rights of alien enemies in time of war</w:t>
      </w:r>
    </w:p>
    <w:p>
      <w:pPr>
        <w:jc w:val="both"/>
        <w:spacing w:before="100" w:after="100"/>
        <w:ind w:start="360"/>
        <w:ind w:firstLine="360"/>
      </w:pPr>
      <w:r>
        <w:rPr/>
      </w:r>
      <w:r>
        <w:rPr/>
      </w:r>
      <w:r>
        <w:t xml:space="preserve">If a person is disabled from prosecuting an action in this State by reason of being an alien subject or citizen of a country at war with the United States, the time during which such war continues shall not be a part of the period herein limited for the commencement of any of said actions.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§857. Rights of alien enemies in time of war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§857. Rights of alien enemies in time of war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§857. RIGHTS OF ALIEN ENEMIES IN TIME OF WAR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