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2855</w:t>
        <w:t xml:space="preserve">.  </w:t>
      </w:r>
      <w:r>
        <w:rPr>
          <w:b/>
        </w:rPr>
        <w:t xml:space="preserve">Death of trustee within 30 days after judgment; procedure to preserve attachment</w:t>
      </w:r>
    </w:p>
    <w:p>
      <w:pPr>
        <w:jc w:val="both"/>
        <w:spacing w:before="100" w:after="100"/>
        <w:ind w:start="360"/>
        <w:ind w:firstLine="360"/>
      </w:pPr>
      <w:r>
        <w:rPr/>
      </w:r>
      <w:r>
        <w:rPr/>
      </w:r>
      <w:r>
        <w:t xml:space="preserve">If any person against whom execution issues as trustee is not living at the expiration of 30 days after final judgment in the action, the demand, to be made by force of the execution for continuing the attachment as provided in </w:t>
      </w:r>
      <w:r>
        <w:t>section 2956</w:t>
      </w:r>
      <w:r>
        <w:t xml:space="preserve">, may be made on his executor or administrator at any time within 30 days after his appointment with the same effect as if made within 30 days after the judgment.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§2855. Death of trustee within 30 days after judgment; procedure to preserve attachment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§2855. Death of trustee within 30 days after judgment; procedure to preserve attachment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§2855. DEATH OF TRUSTEE WITHIN 30 DAYS AFTER JUDGMENT; PROCEDURE TO PRESERVE ATTACHMENT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