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Appeal found to be frivolous</w:t>
      </w:r>
    </w:p>
    <w:p>
      <w:pPr>
        <w:jc w:val="both"/>
        <w:spacing w:before="100" w:after="100"/>
        <w:ind w:start="360"/>
        <w:ind w:firstLine="360"/>
      </w:pPr>
      <w:r>
        <w:rPr/>
      </w:r>
      <w:r>
        <w:rPr/>
      </w:r>
      <w:r>
        <w:t xml:space="preserve">If an appeal to the law court or Superior Court is found by that court to have been frivolous and intended for delay, treble costs may be allowed to the prevailing party.</w:t>
      </w:r>
      <w:r>
        <w:t xml:space="preserve">  </w:t>
      </w:r>
      <w:r xmlns:wp="http://schemas.openxmlformats.org/drawingml/2010/wordprocessingDrawing" xmlns:w15="http://schemas.microsoft.com/office/word/2012/wordml">
        <w:rPr>
          <w:rFonts w:ascii="Arial" w:hAnsi="Arial" w:cs="Arial"/>
          <w:sz w:val="22"/>
          <w:szCs w:val="22"/>
        </w:rPr>
        <w:t xml:space="preserve">[PL 2001, c. 81,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Appeal found to be frivolous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Appeal found to be frivolous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§1802. APPEAL FOUND TO BE FRIVOLOUS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