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BUILDINGS, LOTS, WHARVES AND PIERS; LABOR AND MATERIALS</w:t>
      </w:r>
    </w:p>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such lien for labor, materials or services not then performed or furnished, by giving written notice to the person performing or furnishing the same that he will not be responsible therefor.</w:t>
      </w:r>
    </w:p>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No inaccuracy in such statement relating to said property, if the same can be reasonably recognized, or in stating the amount due for labor, materials or services invalidates the proceedings, unless it appears that the person making it willfully claims more than his due.</w:t>
      </w:r>
    </w:p>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In no case shall the total amount due from the owner to those performing or furnishing labor, materials or services without a contract with the owner exceed the balance due from the owner to the person with whom he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therein, notice may be given to the agent or to the owner at the place where he resides. If the notice provided by this subsection is given, the lien claimant must also comply with the notice requirements of </w:t>
      </w:r>
      <w:r>
        <w:t>section 3253</w:t>
      </w:r>
      <w:r>
        <w:t xml:space="preserve"> and commence the legal action required by </w:t>
      </w:r>
      <w:r>
        <w:t>subsection 1</w:t>
      </w:r>
      <w:r>
        <w:t xml:space="preserve"> to the extent that this compliance is required in order to preserve his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w:t>
      </w:r>
    </w:p>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is adjudicated a bankrupt or a warrant in insolvency issues against his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shall be extended accordingly.</w:t>
      </w:r>
      <w:r>
        <w:t xml:space="preserve">  </w:t>
      </w:r>
      <w:r xmlns:wp="http://schemas.openxmlformats.org/drawingml/2010/wordprocessingDrawing" xmlns:w15="http://schemas.microsoft.com/office/word/2012/wordml">
        <w:rPr>
          <w:rFonts w:ascii="Arial" w:hAnsi="Arial" w:cs="Arial"/>
          <w:sz w:val="22"/>
          <w:szCs w:val="22"/>
        </w:rPr>
        <w:t xml:space="preserve">[PL 1975, c. 91,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w:t>
      </w:r>
    </w:p>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his claim and costs remaining unpaid, and may issue executions therefor. If the proceeds of sale, after the payment of costs and expenses of sale, are more than sufficient to pay the lien claims and all costs in full, the balance remaining shall be paid to the person or persons legally or equitably entitled thereto.</w:t>
      </w:r>
    </w:p>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any action authorized by </w:t>
      </w:r>
      <w:r>
        <w:t>chapters 601</w:t>
      </w:r>
      <w:r>
        <w:t xml:space="preserve"> to </w:t>
      </w:r>
      <w:r>
        <w:t>631</w:t>
      </w:r>
      <w:r>
        <w:t xml:space="preserve"> against any house, building or appurtenances, wharf, pier or building thereon, and the land on which it stands, or any interest that the owner of such house, building or appurtenances, wharf or pier has in such land, said property shall be taken and sold on execution in the same manner that rights of redeeming mortgaged real estate may be taken and sold. If 2 or more such judgments are rendered at the same term of the same court, the court shall direct in writing on which execution the property shall be sold, and in that event, and in the event that the officer holding any execution recovered under </w:t>
      </w:r>
      <w:r>
        <w:t>chapters 601</w:t>
      </w:r>
      <w:r>
        <w:t xml:space="preserve"> to </w:t>
      </w:r>
      <w:r>
        <w:t>631</w:t>
      </w:r>
      <w:r>
        <w:t xml:space="preserve"> shall be notified in writing by any lienor who has caused said property to be attached or who has filed his action claiming a lien as provided, that he claims a portion of the proceeds of the sale, said officer, unless all owners of such judgments and all lienors so notifying such officer otherwise direct, shall thereupon sell said property and after deducting the fees and expenses of sale, shall return the balance into the court of highest jurisdiction in which any such lien action is pending or in which such a lien judgment has been rendered, and such court shall distribute such fund pro rata among the lienors who shall satisfactorily prove their right to share in the same. The court issuing execution on which the sale is made may fix the time within which the owner shall have the right to redeem the property from such sale. The court distributing the fund may make such decree in regard to costs as is equitable. Any balance not required to pay such lien claims and costs shall be paid to the person or persons legally or equitably entitled thereto.</w:t>
      </w:r>
    </w:p>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603. BUILDINGS, LOTS, WHARVES AND PIERS; LABOR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BUILDINGS, LOTS, WHARVES AND PIERS; LABOR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603. BUILDINGS, LOTS, WHARVES AND PIERS; LABOR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